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12F253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4E03D4">
        <w:rPr>
          <w:rStyle w:val="a6"/>
          <w:color w:val="202020"/>
          <w:sz w:val="28"/>
          <w:szCs w:val="28"/>
        </w:rPr>
        <w:t>Гончарової Інни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4ED2808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4E03D4">
        <w:rPr>
          <w:rStyle w:val="a6"/>
          <w:color w:val="202020"/>
          <w:sz w:val="28"/>
          <w:szCs w:val="28"/>
        </w:rPr>
        <w:t>Гончарової Інни Володимирівни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4E03D4">
        <w:rPr>
          <w:color w:val="202020"/>
          <w:sz w:val="28"/>
          <w:szCs w:val="28"/>
        </w:rPr>
        <w:t xml:space="preserve">відділу стратегічних проєктів департаменту архітектури та містобудування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F94375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4E03D4">
        <w:rPr>
          <w:rStyle w:val="a6"/>
          <w:color w:val="202020"/>
          <w:sz w:val="28"/>
          <w:szCs w:val="28"/>
        </w:rPr>
        <w:t>Гончарової І.В.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E03D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Огренчук Вікторія Володимирівна</cp:lastModifiedBy>
  <cp:revision>27</cp:revision>
  <dcterms:created xsi:type="dcterms:W3CDTF">2015-04-21T14:36:00Z</dcterms:created>
  <dcterms:modified xsi:type="dcterms:W3CDTF">2024-03-05T07:10:00Z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